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begin"/>
      </w:r>
      <w:r w:rsidRPr="007E3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instrText xml:space="preserve"> HYPERLINK "https://news.tut.by/" </w:instrText>
      </w:r>
      <w:r w:rsidRPr="007E3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separate"/>
      </w:r>
      <w:r w:rsidRPr="007E3B17">
        <w:rPr>
          <w:rFonts w:ascii="Times New Roman" w:eastAsia="Times New Roman" w:hAnsi="Times New Roman" w:cs="Times New Roman"/>
          <w:b/>
          <w:bCs/>
          <w:caps/>
          <w:color w:val="FFFFFF"/>
          <w:sz w:val="20"/>
          <w:szCs w:val="20"/>
          <w:bdr w:val="none" w:sz="0" w:space="0" w:color="auto" w:frame="1"/>
          <w:shd w:val="clear" w:color="auto" w:fill="CE1B17"/>
          <w:lang w:eastAsia="ru-RU"/>
        </w:rPr>
        <w:t>НОВОСТИ</w:t>
      </w:r>
      <w:r w:rsidRPr="007E3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end"/>
      </w:r>
      <w:r w:rsidRPr="007E3B17">
        <w:rPr>
          <w:rFonts w:ascii="Times New Roman" w:eastAsia="Times New Roman" w:hAnsi="Times New Roman" w:cs="Times New Roman"/>
          <w:noProof/>
          <w:color w:val="192C8F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1348740" cy="259080"/>
            <wp:effectExtent l="0" t="0" r="3810" b="7620"/>
            <wp:docPr id="1" name="Рисунок 1" descr="Белорусский портал TUT.BY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лорусский портал TUT.BY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Опубликовано 11 января 2019 в 11:21</w:t>
      </w:r>
      <w:r w:rsidRPr="007E3B1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Адрес в интернете: </w:t>
      </w:r>
      <w:hyperlink r:id="rId7" w:history="1">
        <w:r w:rsidRPr="007E3B17">
          <w:rPr>
            <w:rFonts w:ascii="Times New Roman" w:eastAsia="Times New Roman" w:hAnsi="Times New Roman" w:cs="Times New Roman"/>
            <w:color w:val="192C8F"/>
            <w:sz w:val="16"/>
            <w:szCs w:val="16"/>
            <w:bdr w:val="none" w:sz="0" w:space="0" w:color="auto" w:frame="1"/>
            <w:lang w:eastAsia="ru-RU"/>
          </w:rPr>
          <w:t>https://news.tut.by/economics/622203.html</w:t>
        </w:r>
      </w:hyperlink>
      <w:r w:rsidRPr="007E3B1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 </w:t>
      </w:r>
    </w:p>
    <w:p w:rsidR="007E3B17" w:rsidRPr="007E3B17" w:rsidRDefault="007E3B17" w:rsidP="007E3B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538135" w:themeColor="accent6" w:themeShade="BF"/>
          <w:spacing w:val="-6"/>
          <w:kern w:val="36"/>
          <w:sz w:val="36"/>
          <w:szCs w:val="36"/>
          <w:lang w:eastAsia="ru-RU"/>
        </w:rPr>
      </w:pPr>
      <w:bookmarkStart w:id="0" w:name="_GoBack"/>
      <w:r w:rsidRPr="007E3B17">
        <w:rPr>
          <w:rFonts w:ascii="Times New Roman" w:eastAsia="Times New Roman" w:hAnsi="Times New Roman" w:cs="Times New Roman"/>
          <w:b/>
          <w:bCs/>
          <w:color w:val="538135" w:themeColor="accent6" w:themeShade="BF"/>
          <w:spacing w:val="-6"/>
          <w:kern w:val="36"/>
          <w:sz w:val="36"/>
          <w:szCs w:val="36"/>
          <w:lang w:eastAsia="ru-RU"/>
        </w:rPr>
        <w:t>Новое в таможенном законодательстве</w:t>
      </w:r>
      <w:bookmarkEnd w:id="0"/>
      <w:r w:rsidRPr="007E3B17">
        <w:rPr>
          <w:rFonts w:ascii="Times New Roman" w:eastAsia="Times New Roman" w:hAnsi="Times New Roman" w:cs="Times New Roman"/>
          <w:b/>
          <w:bCs/>
          <w:color w:val="538135" w:themeColor="accent6" w:themeShade="BF"/>
          <w:spacing w:val="-6"/>
          <w:kern w:val="36"/>
          <w:sz w:val="36"/>
          <w:szCs w:val="36"/>
          <w:lang w:eastAsia="ru-RU"/>
        </w:rPr>
        <w:t xml:space="preserve">: </w:t>
      </w:r>
    </w:p>
    <w:p w:rsidR="007E3B17" w:rsidRPr="007E3B17" w:rsidRDefault="007E3B17" w:rsidP="007E3B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70C0"/>
          <w:spacing w:val="-6"/>
          <w:kern w:val="36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i/>
          <w:color w:val="0070C0"/>
          <w:spacing w:val="-6"/>
          <w:kern w:val="36"/>
          <w:sz w:val="28"/>
          <w:szCs w:val="28"/>
          <w:lang w:eastAsia="ru-RU"/>
        </w:rPr>
        <w:t>что важно знать бизнесу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i/>
          <w:color w:val="0070C0"/>
          <w:sz w:val="28"/>
          <w:szCs w:val="28"/>
          <w:bdr w:val="none" w:sz="0" w:space="0" w:color="auto" w:frame="1"/>
          <w:lang w:eastAsia="ru-RU"/>
        </w:rPr>
        <w:t>8 января вступила в силу большая часть норм указа </w:t>
      </w:r>
      <w:hyperlink r:id="rId8" w:tgtFrame="_blank" w:history="1">
        <w:r w:rsidRPr="007E3B17">
          <w:rPr>
            <w:rFonts w:ascii="Times New Roman" w:eastAsia="Times New Roman" w:hAnsi="Times New Roman" w:cs="Times New Roman"/>
            <w:b/>
            <w:bCs/>
            <w:i/>
            <w:color w:val="0070C0"/>
            <w:sz w:val="28"/>
            <w:szCs w:val="28"/>
            <w:u w:val="single"/>
            <w:bdr w:val="none" w:sz="0" w:space="0" w:color="auto" w:frame="1"/>
            <w:lang w:eastAsia="ru-RU"/>
          </w:rPr>
          <w:t>«О таможенном регулировании»</w:t>
        </w:r>
      </w:hyperlink>
      <w:r w:rsidRPr="007E3B17">
        <w:rPr>
          <w:rFonts w:ascii="Times New Roman" w:eastAsia="Times New Roman" w:hAnsi="Times New Roman" w:cs="Times New Roman"/>
          <w:b/>
          <w:bCs/>
          <w:i/>
          <w:color w:val="0070C0"/>
          <w:sz w:val="28"/>
          <w:szCs w:val="28"/>
          <w:bdr w:val="none" w:sz="0" w:space="0" w:color="auto" w:frame="1"/>
          <w:lang w:eastAsia="ru-RU"/>
        </w:rPr>
        <w:t>, который содержит ряд положений, направленных на либерализацию и улучшение бизнес-климата, а также на приведение национального законодательства в соответствие с нормами Таможенного кодекса ЕАЭС, который действует с 1 января 2018 года.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наиболее значимых изменени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 для бизнеса TUT.BY рассказал адвокат адвокатского бюро «РЕВЕРА», кандидат юридических наук Владимир Ангельский.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Установлен «срок давности» по взысканию таможенных платежей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с момента, когда компания должна была уплатить таможенные платежи, прошло более 5 лет и в этот период таможенные органы не предъявили требование об их уплате или не вынесли решение об их доначислении, то взыскание таких неуплаченных таможенных платежей в принудительном порядке не производится. Фактически установлен </w:t>
      </w:r>
      <w:proofErr w:type="spellStart"/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пресекательный</w:t>
      </w:r>
      <w:proofErr w:type="spellEnd"/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срок, в течение которого таможенные органы могут довзыскать таможенные платежи. Это изменение и сам 5-летний срок соответствуют подходу, который ранее был закреплен в законодательстве в отношении взыскания налогов.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Сократился срок проведения таможенного контроля после выпуска товаров с 5 до 3 лет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если компания выполнила все обязательства перед таможенными органами и у таможни не было вопросов в момент проведения «</w:t>
      </w:r>
      <w:proofErr w:type="spellStart"/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растаможки</w:t>
      </w:r>
      <w:proofErr w:type="spellEnd"/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товара, то все равно в течение определенного времени таможня могла предъявить претензии («контроль после выпуска товара»). Ранее такой срок был установлен в 5 лет, сейчас — 3 года. Однако следует иметь в виду, что указ сохранил право таможенных органов на проведение контроля после выпуска товаров в период после 3 лет, но до истечения 5 лет в двух случаях:</w:t>
      </w:r>
    </w:p>
    <w:p w:rsidR="007E3B17" w:rsidRPr="007E3B17" w:rsidRDefault="007E3B17" w:rsidP="007E3B1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поручения президента, Совмина, председателя Комитета госконтроля и его заместителей, генпрокурора и его заместителей, органа уголовного преследования по возбужденному уголовному делу;</w:t>
      </w:r>
    </w:p>
    <w:p w:rsidR="007E3B17" w:rsidRPr="007E3B17" w:rsidRDefault="007E3B17" w:rsidP="007E3B1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случае назначения дополнительной проверки, то есть проверки, проводимой в дополнение к ранее проведенной проверке (по тем же вопросам и за тот же проверяемый период).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 контроль по истечении 3 лет возможен только в форме выездной таможенной проверки (камеральная проверка — без выезда по месту нахождения компании и по документам — не допускается).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Все неясности в таможенном законодательстве трактуются в пользу субъектов хозяйствования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Таможенное законодательство зачастую является достаточно сложным для понимания и применения, в том числе потому, что имеет два уровня регулирования: национальный и наднациональный (уровень ЕАЭС). Нововведение устанавливает порядок решения вопроса в случае наличия сомнений, противоречий и неясностей в таможенном законодательстве: они должны толковаться в пользу декларанта и иных заинтересованных лиц. Само </w:t>
      </w: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 себе данное изменение можно оценивать позитивно. Однако стоит отметить, что аналогичная норма в налоговом законодательстве на практике применяется достаточно редко.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Упростился импорт товаров для реализации инвестиционных проектов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 предоставил возможность выпуска до подачи декларации на товары ряда товаров, используемых при реализации инвестиционных проектов. К ним относятся технологическое оборудование, комплектующие и запасные части к нему, сырье и материалы. Для выпуска товаров и освобождения от таможенных платежей заинтересованные субъекты должны предоставить специальное заключение. При выпуске таких товаров субъект хозяйствования не обязан предоставлять обеспечение исполнения обязанности по уплате таможенных платежей. Эта норма призвана облегчить и ускорить реализацию инвестиционных проектов, которые соответствуют приоритетным видам деятельности (секторам экономики).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Товары, предназначенные на экспорт, общей стоимостью до 1000 евро, не надо декларировать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 вывозите товары на сумму, эквивалентную менее 1000 евро, в отношении которых не установлены вывозные таможенные пошлины, то при соблюдении ряда иных условий вы можете не оформлять декларацию на товары (в качестве декларации используются транспортные и коммерческие документы). Эта норма направлена на стимулирование малых и средних предприятий и увеличение их доли в экспорте. Иными словами, экспортировать товары на небольшие суммы стало проще. Ранее такая возможность также существовала, однако стоимость товаров не должна была превышать 200 евро. В связи с незначительным разрешенным размером такая возможность не вызывала существенного интереса у бизнеса.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Другие изменения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Указом также предусмотрены:</w:t>
      </w:r>
    </w:p>
    <w:p w:rsidR="007E3B17" w:rsidRPr="007E3B17" w:rsidRDefault="007E3B17" w:rsidP="007E3B1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нормативная база для так называемой </w:t>
      </w:r>
      <w:proofErr w:type="spellStart"/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бестранзитной</w:t>
      </w:r>
      <w:proofErr w:type="spellEnd"/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доставки товаров — когда непосредственно в пункте пропуска проводится минимальный набор контрольных процедур, после чего товар перемещается в транспортно-логистический центр, где завершается процедура его таможенной очистки;</w:t>
      </w:r>
    </w:p>
    <w:p w:rsidR="007E3B17" w:rsidRPr="007E3B17" w:rsidRDefault="007E3B17" w:rsidP="007E3B1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 существенных упрощений для резидентов свободных экономических зон;</w:t>
      </w:r>
    </w:p>
    <w:p w:rsidR="007E3B17" w:rsidRPr="007E3B17" w:rsidRDefault="007E3B17" w:rsidP="007E3B1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основания, при которых таможенный орган отказывает в предоставлении отсрочки или рассрочки уплаты таможенных платежей;</w:t>
      </w:r>
    </w:p>
    <w:p w:rsidR="007E3B17" w:rsidRPr="007E3B17" w:rsidRDefault="007E3B17" w:rsidP="007E3B1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декларанта о внесении изменений и дополнений в декларацию на товары рассматривается в качестве заявления на возврат (зачет) излишне уплаченных и (или) излишне взысканных таможенных платежей;</w:t>
      </w:r>
    </w:p>
    <w:p w:rsidR="007E3B17" w:rsidRPr="007E3B17" w:rsidRDefault="007E3B17" w:rsidP="007E3B1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о поручительстве как способе обеспечения исполнения обязанности по уплате таможенных платежей.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отмечает юрист, указ в целом направлен на дальнейшую детализацию и конкретизацию таможенных отношений, содействует ускорению и упрощению таможенных процедур, предоставляет субъектам хозяйствования новые возможности, в частности, при экспорте товаров и реализации инвестиционных проектов.</w:t>
      </w:r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/>
          <w:sz w:val="28"/>
          <w:szCs w:val="28"/>
          <w:lang w:eastAsia="ru-RU"/>
        </w:rPr>
      </w:pPr>
      <w:hyperlink r:id="rId9" w:tgtFrame="_blank" w:history="1">
        <w:r w:rsidRPr="007E3B17">
          <w:rPr>
            <w:rFonts w:ascii="Times New Roman" w:eastAsia="Times New Roman" w:hAnsi="Times New Roman" w:cs="Times New Roman"/>
            <w:color w:val="808080"/>
            <w:sz w:val="28"/>
            <w:szCs w:val="28"/>
            <w:u w:val="single"/>
            <w:bdr w:val="none" w:sz="0" w:space="0" w:color="auto" w:frame="1"/>
            <w:lang w:eastAsia="ru-RU"/>
          </w:rPr>
          <w:t>TUT.BY</w:t>
        </w:r>
      </w:hyperlink>
    </w:p>
    <w:p w:rsidR="007E3B17" w:rsidRPr="007E3B17" w:rsidRDefault="007E3B17" w:rsidP="007E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rect id="_x0000_i1026" style="width:0;height:.75pt" o:hralign="center" o:hrstd="t" o:hr="t" fillcolor="#a0a0a0" stroked="f"/>
        </w:pict>
      </w:r>
    </w:p>
    <w:p w:rsidR="007D386F" w:rsidRPr="007E3B17" w:rsidRDefault="007E3B17" w:rsidP="007E3B1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E3B1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Распечатано с белорусского портала TUT.BY</w:t>
      </w:r>
    </w:p>
    <w:sectPr w:rsidR="007D386F" w:rsidRPr="007E3B17" w:rsidSect="007E3B1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7407"/>
    <w:multiLevelType w:val="multilevel"/>
    <w:tmpl w:val="F690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D864A46"/>
    <w:multiLevelType w:val="multilevel"/>
    <w:tmpl w:val="3FF4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51"/>
    <w:rsid w:val="007E3B17"/>
    <w:rsid w:val="00B05A54"/>
    <w:rsid w:val="00B63151"/>
    <w:rsid w:val="00DC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972E5"/>
  <w15:chartTrackingRefBased/>
  <w15:docId w15:val="{44F0F991-EAFD-4A6B-A8B3-A7224B24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3B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B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E3B17"/>
    <w:rPr>
      <w:color w:val="0000FF"/>
      <w:u w:val="single"/>
    </w:rPr>
  </w:style>
  <w:style w:type="character" w:customStyle="1" w:styleId="nopr">
    <w:name w:val="nopr"/>
    <w:basedOn w:val="a0"/>
    <w:rsid w:val="007E3B17"/>
  </w:style>
  <w:style w:type="paragraph" w:styleId="a4">
    <w:name w:val="Normal (Web)"/>
    <w:basedOn w:val="a"/>
    <w:uiPriority w:val="99"/>
    <w:semiHidden/>
    <w:unhideWhenUsed/>
    <w:rsid w:val="007E3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E3B17"/>
    <w:rPr>
      <w:b/>
      <w:bCs/>
    </w:rPr>
  </w:style>
  <w:style w:type="paragraph" w:customStyle="1" w:styleId="b-article-details">
    <w:name w:val="b-article-details"/>
    <w:basedOn w:val="a"/>
    <w:rsid w:val="007E3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8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0544">
              <w:marLeft w:val="300"/>
              <w:marRight w:val="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2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8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97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gov.by/ru/official_documents_ru/view/ukaz-490-ot-22-dekabrja-2018-g-2012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ws.tut.by/economics/62220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tut.by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ews.tut.by/author/490~6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Александрович</dc:creator>
  <cp:keywords/>
  <dc:description/>
  <cp:lastModifiedBy>Валерий Александрович</cp:lastModifiedBy>
  <cp:revision>2</cp:revision>
  <dcterms:created xsi:type="dcterms:W3CDTF">2019-01-12T12:48:00Z</dcterms:created>
  <dcterms:modified xsi:type="dcterms:W3CDTF">2019-01-12T12:48:00Z</dcterms:modified>
</cp:coreProperties>
</file>